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70" w:rsidRDefault="00DD3E7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8094134"/>
            <wp:effectExtent l="19050" t="0" r="1905" b="0"/>
            <wp:docPr id="1" name="Рисунок 1" descr="C:\Users\user\Desktop\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9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70" w:rsidRDefault="00DD3E70">
      <w:pPr>
        <w:rPr>
          <w:lang w:val="ru-RU"/>
        </w:rPr>
      </w:pPr>
    </w:p>
    <w:p w:rsidR="00DD3E70" w:rsidRDefault="00DD3E70">
      <w:pPr>
        <w:rPr>
          <w:lang w:val="ru-RU"/>
        </w:rPr>
      </w:pPr>
    </w:p>
    <w:p w:rsidR="00DD3E70" w:rsidRPr="00DD3E70" w:rsidRDefault="00DD3E70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="-318" w:tblpY="-5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0"/>
      </w:tblGrid>
      <w:tr w:rsidR="00F010BB" w:rsidRPr="0094174C" w:rsidTr="00F010BB">
        <w:tc>
          <w:tcPr>
            <w:tcW w:w="4503" w:type="dxa"/>
          </w:tcPr>
          <w:p w:rsidR="00F010BB" w:rsidRPr="0094174C" w:rsidRDefault="00F010BB" w:rsidP="00F01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ПРИНЯТО</w:t>
            </w:r>
          </w:p>
          <w:p w:rsidR="00F010BB" w:rsidRPr="0094174C" w:rsidRDefault="00F010BB" w:rsidP="00F01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общем собрании работников</w:t>
            </w: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МДОУ «Детский сад № 99»</w:t>
            </w:r>
          </w:p>
          <w:p w:rsidR="00F010BB" w:rsidRPr="0094174C" w:rsidRDefault="00F010BB" w:rsidP="00F01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>_» 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</w:tcPr>
          <w:p w:rsidR="00F010BB" w:rsidRPr="0094174C" w:rsidRDefault="00F010BB" w:rsidP="00F010B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F010BB" w:rsidRDefault="00F010BB" w:rsidP="00F010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  <w:p w:rsidR="00F010BB" w:rsidRPr="0094174C" w:rsidRDefault="00F010BB" w:rsidP="00F010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№ 99»</w:t>
            </w:r>
          </w:p>
          <w:p w:rsidR="00F010BB" w:rsidRPr="0094174C" w:rsidRDefault="00F010BB" w:rsidP="00F010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Т.В. </w:t>
            </w: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Саакова </w:t>
            </w:r>
          </w:p>
          <w:p w:rsidR="00F010BB" w:rsidRDefault="00F010BB" w:rsidP="00F010BB">
            <w:pPr>
              <w:jc w:val="right"/>
              <w:rPr>
                <w:rStyle w:val="fontstyle01"/>
                <w:sz w:val="24"/>
                <w:szCs w:val="24"/>
              </w:rPr>
            </w:pPr>
            <w:r w:rsidRPr="0094174C">
              <w:rPr>
                <w:rStyle w:val="fontstyle01"/>
                <w:sz w:val="24"/>
                <w:szCs w:val="24"/>
              </w:rPr>
              <w:t>приказ от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4174C">
              <w:rPr>
                <w:rStyle w:val="fontstyle01"/>
                <w:sz w:val="24"/>
                <w:szCs w:val="24"/>
              </w:rPr>
              <w:t xml:space="preserve"> </w:t>
            </w: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536FB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A536FB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A536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 w:rsidRPr="0094174C">
              <w:rPr>
                <w:rStyle w:val="fontstyle01"/>
                <w:sz w:val="24"/>
                <w:szCs w:val="24"/>
              </w:rPr>
              <w:t xml:space="preserve"> </w:t>
            </w:r>
          </w:p>
          <w:p w:rsidR="00F010BB" w:rsidRPr="0094174C" w:rsidRDefault="00F010BB" w:rsidP="00A53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C">
              <w:rPr>
                <w:rStyle w:val="fontstyle01"/>
                <w:sz w:val="24"/>
                <w:szCs w:val="24"/>
              </w:rPr>
              <w:t>№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="00A536FB">
              <w:rPr>
                <w:rStyle w:val="fontstyle01"/>
                <w:sz w:val="24"/>
                <w:szCs w:val="24"/>
              </w:rPr>
              <w:t>01-09/05-2</w:t>
            </w:r>
            <w:r w:rsidRPr="0094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F010BB" w:rsidRDefault="00F010BB" w:rsidP="00F010BB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010BB" w:rsidRDefault="00F010BB" w:rsidP="00F010BB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010B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 учетом мнения выборного органа </w:t>
      </w:r>
    </w:p>
    <w:p w:rsidR="00F010BB" w:rsidRPr="00F010BB" w:rsidRDefault="00F010BB" w:rsidP="00F010BB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010BB">
        <w:rPr>
          <w:rFonts w:ascii="Times New Roman" w:hAnsi="Times New Roman" w:cs="Times New Roman"/>
          <w:bCs/>
          <w:sz w:val="26"/>
          <w:szCs w:val="26"/>
          <w:lang w:val="ru-RU"/>
        </w:rPr>
        <w:t>Председатель первичной профсоюзной организации</w:t>
      </w:r>
    </w:p>
    <w:p w:rsidR="00F010BB" w:rsidRPr="00F010BB" w:rsidRDefault="00F010BB" w:rsidP="00F010BB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010B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_____________ </w:t>
      </w:r>
      <w:r w:rsidR="00A536F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С.А. </w:t>
      </w:r>
      <w:r w:rsidRPr="00F010B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Виноградова </w:t>
      </w:r>
    </w:p>
    <w:p w:rsidR="00F010BB" w:rsidRDefault="00F010BB" w:rsidP="00F010B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bCs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____</w:t>
      </w:r>
      <w:r w:rsidRPr="00F010B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___________ </w:t>
      </w:r>
      <w:r w:rsidRPr="00F010B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202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____</w:t>
      </w:r>
      <w:r w:rsidRPr="00F010B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г.</w:t>
      </w:r>
    </w:p>
    <w:p w:rsidR="00F010BB" w:rsidRPr="00F010BB" w:rsidRDefault="00F010BB" w:rsidP="00F010B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62CD0" w:rsidRPr="00F010BB" w:rsidRDefault="00F010BB" w:rsidP="00F010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F010B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Антикоррупционная</w:t>
      </w:r>
      <w:proofErr w:type="spellEnd"/>
      <w:r w:rsidRPr="00F010B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политика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муниципального дошкольного образовательного учреждения</w:t>
      </w:r>
      <w:r w:rsidRPr="00F010B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«Детский сад № 99»</w:t>
      </w:r>
    </w:p>
    <w:p w:rsid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10BB" w:rsidRPr="00F010BB" w:rsidRDefault="00F010BB" w:rsidP="00F010B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Настоящая 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антикоррупционная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политика </w:t>
      </w:r>
      <w:r w:rsid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униципального </w:t>
      </w:r>
      <w:r w:rsid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образовательного учреждения «</w:t>
      </w:r>
      <w:r w:rsid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99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Политика) составлена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25.12.2008 №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273-ФЗ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предупреждению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коррупции</w:t>
      </w:r>
      <w:r w:rsid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Политика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униципального </w:t>
      </w:r>
      <w:r w:rsid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образовательного учреждения «</w:t>
      </w:r>
      <w:r w:rsid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99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Pr="00D8546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коррупция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совершение подобных деяний от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или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D8546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взятка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взятка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 за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службе;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D8546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коммерческий подкуп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служебные полномочия такого </w:t>
      </w:r>
      <w:proofErr w:type="gramStart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proofErr w:type="gramEnd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либо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если оно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D8546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противодействие коррупции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лиц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их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минимизации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D8546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контрагент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D8546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конфликт интересов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Pr="00D8546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личная заинтересованность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состоящими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лицо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</w:t>
      </w:r>
      <w:proofErr w:type="gramEnd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лица, состоящие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2CD0" w:rsidRPr="00F010BB" w:rsidRDefault="00F010BB" w:rsidP="00F010B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соответствия деятельности Организации требованиям </w:t>
      </w:r>
      <w:proofErr w:type="spellStart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законодательства;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работников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у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за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ее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систематическое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среды,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сведениям 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противодействия коррупции. Подраздел наполняется следующей информацией: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актами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2CD0" w:rsidRPr="00F010BB" w:rsidRDefault="00F010BB" w:rsidP="00F010B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или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Руководитель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стажа работы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ее;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участия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поведения, которое может быть истолковано окружающими как готовность </w:t>
      </w:r>
      <w:proofErr w:type="gramStart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совершить</w:t>
      </w:r>
      <w:proofErr w:type="gramEnd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участвовать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стажа работы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им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2CD0" w:rsidRPr="00F010BB" w:rsidRDefault="00F010BB" w:rsidP="00F010B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 из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лицо или несколько лиц, ответственных за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 (ответственных) за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Организации:</w:t>
      </w:r>
      <w:proofErr w:type="gramEnd"/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F62CD0" w:rsidRPr="00F010BB" w:rsidRDefault="00F010BB" w:rsidP="00F010B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2CD0" w:rsidRPr="00F010BB" w:rsidRDefault="00F010BB" w:rsidP="00F010B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</w:t>
      </w:r>
      <w:r w:rsid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ответственными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нием требований Политики своими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подчиненными.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Лица, виновные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законодательства, несут ответственность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572A5F" w:rsidRDefault="00572A5F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2CD0" w:rsidRPr="00F010BB" w:rsidRDefault="00F010BB" w:rsidP="00572A5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видов деятельности Организации, при реализации которых наиболее высока вероятность совершения работниками коррупционных </w:t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Оценка коррупционных рисков позволяет обеспечить соответствие реализуемых 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мероприятий специфике деятельности Организации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F62CD0" w:rsidRPr="00572A5F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подготовительного;</w:t>
      </w:r>
    </w:p>
    <w:p w:rsidR="00F62CD0" w:rsidRPr="00572A5F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описания процессов;</w:t>
      </w:r>
    </w:p>
    <w:p w:rsidR="00F62CD0" w:rsidRPr="00572A5F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идентификации коррупционных рисков;</w:t>
      </w:r>
    </w:p>
    <w:p w:rsidR="00F62CD0" w:rsidRPr="00572A5F" w:rsidRDefault="00572A5F" w:rsidP="00572A5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коррупционных рисков.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6.3.1.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F62CD0" w:rsidRPr="00F010BB" w:rsidRDefault="00572A5F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6.3.2.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оценивают их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F62CD0" w:rsidRPr="00F010BB" w:rsidRDefault="00572A5F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критериями при определении коррупционных рисков являются </w:t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2CD0" w:rsidRPr="00572A5F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r w:rsidR="00F010BB" w:rsidRP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ее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отдельными работниками;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F62CD0" w:rsidRPr="00F010BB" w:rsidRDefault="00572A5F" w:rsidP="00572A5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сведений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F62CD0" w:rsidRPr="00F010BB" w:rsidRDefault="00572A5F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  <w:proofErr w:type="gramEnd"/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закупка товаров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сдача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F62CD0" w:rsidRPr="00F010BB" w:rsidRDefault="00572A5F" w:rsidP="00572A5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д.).</w:t>
      </w:r>
    </w:p>
    <w:p w:rsidR="00F62CD0" w:rsidRPr="00F010BB" w:rsidRDefault="00572A5F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 решений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6.3.3.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F62CD0" w:rsidRPr="00F010BB" w:rsidRDefault="00572A5F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  <w:proofErr w:type="gramEnd"/>
    </w:p>
    <w:p w:rsidR="00F62CD0" w:rsidRPr="00572A5F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у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r w:rsidR="00F010BB" w:rsidRP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физическому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юридическому лицу, взаимодействующему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Организацией;</w:t>
      </w:r>
      <w:proofErr w:type="gramEnd"/>
    </w:p>
    <w:p w:rsidR="00F62CD0" w:rsidRPr="00F010BB" w:rsidRDefault="00572A5F" w:rsidP="00572A5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целом.</w:t>
      </w:r>
    </w:p>
    <w:p w:rsidR="00F62CD0" w:rsidRPr="00F010BB" w:rsidRDefault="00572A5F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F62CD0" w:rsidRPr="00F010BB" w:rsidRDefault="00572A5F" w:rsidP="00572A5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6.3.4.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F62CD0" w:rsidRPr="00F010BB" w:rsidRDefault="00572A5F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перечень потенциальных </w:t>
      </w:r>
      <w:proofErr w:type="spellStart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proofErr w:type="spellEnd"/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описание возможных способов передачи работнику (работникам) или должностному лицу (должностным лицам),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закупке для нужд 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организации товаров на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состав коррупционных правонарушений, которые должны быть совершены работником (работниками) для реализации коррупционной схемы, с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ссылок на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кадровые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572A5F" w:rsidRDefault="00572A5F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2CD0" w:rsidRPr="00F010BB" w:rsidRDefault="00F010BB" w:rsidP="00572A5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Деятельность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</w:t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 при урегулировании конфликта интересов;</w:t>
      </w:r>
    </w:p>
    <w:p w:rsidR="00F62CD0" w:rsidRPr="00F010BB" w:rsidRDefault="00572A5F" w:rsidP="00572A5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работника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преследования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Комиссии входят работники Организации, председателем Комиссии является заместитель </w:t>
      </w:r>
      <w:r w:rsid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смыслу пункта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572A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целей ее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избегать ситуаций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F62CD0" w:rsidRPr="00F010BB" w:rsidRDefault="00572A5F" w:rsidP="00572A5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F62CD0" w:rsidRPr="00F010BB" w:rsidRDefault="00572A5F" w:rsidP="00572A5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не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  <w:proofErr w:type="gramEnd"/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F62CD0" w:rsidRPr="00F010BB" w:rsidRDefault="00CC5562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7.10.1.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работник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одной из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кандидатур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F62CD0" w:rsidRPr="00F010BB" w:rsidRDefault="00CC5562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из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F62CD0" w:rsidRPr="00F010BB" w:rsidRDefault="00CC5562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F62CD0" w:rsidRPr="00F010BB" w:rsidRDefault="00CC5562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F62CD0" w:rsidRPr="00F010BB" w:rsidRDefault="00CC5562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7.11. Раскрытие конфликта интересов осуществляется </w:t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безопасности уведомления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</w:t>
      </w:r>
      <w:proofErr w:type="gram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обязанностей, которая приводит или может привести к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F62CD0" w:rsidRPr="00F010BB" w:rsidRDefault="00F010BB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и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поступления в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 форме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12.01.1996 №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7-ФЗ, 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пересмотр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 решения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 лица,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F62CD0" w:rsidRPr="00F010BB" w:rsidRDefault="00D85463" w:rsidP="00D8546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7.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15. При урегулировании конфликта интересов учитывается степень личного интереса работника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F62CD0" w:rsidRPr="00F010BB" w:rsidRDefault="00F010BB" w:rsidP="00D8546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Организац</w:t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воздерживается от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каких-либо санкций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ставшей им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  <w:proofErr w:type="gramEnd"/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F62CD0" w:rsidRPr="00D85463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D854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Следственный комитет РФ;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если сообщение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F62CD0" w:rsidRPr="00DD3E70" w:rsidRDefault="00D85463" w:rsidP="00D8546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DD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прокуратуру субъекта РФ.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форме: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F62CD0" w:rsidRPr="00F010BB" w:rsidRDefault="00D85463" w:rsidP="00D8546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пресечению или расследованию коррупционных преступлений, включая 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оперативно-разыскные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F62CD0" w:rsidRPr="00F010BB" w:rsidRDefault="00F010BB" w:rsidP="00D8546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proofErr w:type="spellStart"/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упорядочивания 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мероприятий Организации.</w:t>
      </w:r>
    </w:p>
    <w:p w:rsidR="00F62CD0" w:rsidRPr="00D85463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D85463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Программа противодействия коррупции включает:</w:t>
      </w:r>
    </w:p>
    <w:p w:rsidR="00F62CD0" w:rsidRPr="00D85463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D854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пояснительную записку;</w:t>
      </w:r>
    </w:p>
    <w:p w:rsidR="00F62CD0" w:rsidRPr="00F010BB" w:rsidRDefault="00D85463" w:rsidP="00D8546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 программы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сроков ее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F62CD0" w:rsidRPr="00F010BB" w:rsidRDefault="00D85463" w:rsidP="00D8546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основную часть с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9.3. Программа противодействия коррупции является частью </w:t>
      </w:r>
      <w:proofErr w:type="spellStart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политики Организации.</w:t>
      </w:r>
    </w:p>
    <w:p w:rsidR="00F62CD0" w:rsidRPr="00F010BB" w:rsidRDefault="00F010BB" w:rsidP="00D8546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10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мер по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F62CD0" w:rsidRPr="00F010BB" w:rsidRDefault="00D85463" w:rsidP="00F010B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дополнений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0BB" w:rsidRPr="00F010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F62CD0" w:rsidRPr="00F010BB" w:rsidSect="00F010BB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2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13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F0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81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72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F1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43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66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F1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F5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15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A3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77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67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71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37C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1C4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16"/>
  </w:num>
  <w:num w:numId="11">
    <w:abstractNumId w:val="11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72A5F"/>
    <w:rsid w:val="005A05CE"/>
    <w:rsid w:val="0064147F"/>
    <w:rsid w:val="00653AF6"/>
    <w:rsid w:val="00A536FB"/>
    <w:rsid w:val="00B73A5A"/>
    <w:rsid w:val="00CC5562"/>
    <w:rsid w:val="00D85463"/>
    <w:rsid w:val="00DD3E70"/>
    <w:rsid w:val="00E30B90"/>
    <w:rsid w:val="00E438A1"/>
    <w:rsid w:val="00EE2F8E"/>
    <w:rsid w:val="00F010BB"/>
    <w:rsid w:val="00F01E19"/>
    <w:rsid w:val="00F6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010B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F010BB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E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2025-05-21T11:22:00Z</cp:lastPrinted>
  <dcterms:created xsi:type="dcterms:W3CDTF">2011-11-02T04:15:00Z</dcterms:created>
  <dcterms:modified xsi:type="dcterms:W3CDTF">2025-05-28T11:20:00Z</dcterms:modified>
</cp:coreProperties>
</file>